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44EE1">
      <w:pPr>
        <w:tabs>
          <w:tab w:val="left" w:pos="6401"/>
        </w:tabs>
        <w:spacing w:line="40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10"/>
    <w:p w14:paraId="0D4A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600" w:lineRule="exact"/>
        <w:textAlignment w:val="auto"/>
        <w:rPr>
          <w:rFonts w:ascii="Times New Roman" w:hAnsi="Times New Roman" w:eastAsia="Times New Roman" w:cs="Times New Roman"/>
          <w:sz w:val="26"/>
          <w:szCs w:val="26"/>
        </w:rPr>
      </w:pPr>
    </w:p>
    <w:p w14:paraId="092A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pacing w:val="-10"/>
          <w:sz w:val="36"/>
          <w:szCs w:val="36"/>
          <w:lang w:eastAsia="zh-CN"/>
        </w:rPr>
        <w:t>实验室生态环境监测数智化平台建设指南</w:t>
      </w:r>
      <w:r>
        <w:rPr>
          <w:rFonts w:ascii="宋体" w:hAnsi="宋体" w:eastAsia="宋体" w:cs="宋体"/>
          <w:b/>
          <w:bCs/>
          <w:spacing w:val="-10"/>
          <w:sz w:val="36"/>
          <w:szCs w:val="36"/>
          <w:lang w:eastAsia="zh-CN"/>
        </w:rPr>
        <w:t>（征求意见稿）》</w:t>
      </w:r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>编制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说明</w:t>
      </w:r>
    </w:p>
    <w:p w14:paraId="48DE262B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51D4552D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47C6BEA">
      <w:pPr>
        <w:spacing w:line="477" w:lineRule="auto"/>
        <w:ind w:left="3912" w:right="4033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D223FD1">
      <w:pP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277C33D9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6308BFC6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54213A06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5C858169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6EAACE9A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409F2179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0830EB5C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4F94BA0F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7FB9FA9B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016FB680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02A2D618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288B9E96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027E9E40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61C66951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5276F4F1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7F44D5B9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5D914FE0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48776EA7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02E5BFB3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7392B7AB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74BDD180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3B754924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2928B546">
      <w:pPr>
        <w:spacing w:before="1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572B821B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62BD55A2">
      <w:pPr>
        <w:spacing w:before="1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</w:p>
    <w:p w14:paraId="680F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9" w:firstLine="603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pacing w:val="-10"/>
          <w:sz w:val="32"/>
          <w:szCs w:val="32"/>
          <w:lang w:eastAsia="zh-CN"/>
        </w:rPr>
        <w:t>实验室生态环境监测数智化平台建设指南</w:t>
      </w:r>
      <w:r>
        <w:rPr>
          <w:rFonts w:ascii="宋体" w:hAnsi="宋体" w:eastAsia="宋体" w:cs="宋体"/>
          <w:b/>
          <w:bCs/>
          <w:spacing w:val="-10"/>
          <w:sz w:val="32"/>
          <w:szCs w:val="32"/>
          <w:lang w:eastAsia="zh-CN"/>
        </w:rPr>
        <w:t>》</w:t>
      </w:r>
      <w:bookmarkStart w:id="0" w:name="OLE_LINK4"/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>编制</w:t>
      </w:r>
      <w:bookmarkEnd w:id="0"/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>组</w:t>
      </w:r>
    </w:p>
    <w:p w14:paraId="23B45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right="237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6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73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1</w:t>
      </w:r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>月</w:t>
      </w:r>
    </w:p>
    <w:p w14:paraId="0082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right="237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</w:p>
    <w:p w14:paraId="7625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right="237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</w:p>
    <w:p w14:paraId="36B88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right="237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</w:p>
    <w:p w14:paraId="3FBD9720">
      <w:pPr>
        <w:ind w:right="237"/>
        <w:rPr>
          <w:rFonts w:ascii="宋体" w:hAnsi="宋体" w:eastAsia="宋体" w:cs="宋体"/>
          <w:sz w:val="21"/>
          <w:szCs w:val="21"/>
          <w:lang w:eastAsia="zh-CN"/>
        </w:rPr>
      </w:pPr>
    </w:p>
    <w:p w14:paraId="73435A80">
      <w:pPr>
        <w:pStyle w:val="18"/>
        <w:jc w:val="center"/>
        <w:rPr>
          <w:lang w:val="zh-CN"/>
        </w:rPr>
        <w:sectPr>
          <w:footerReference r:id="rId3" w:type="default"/>
          <w:pgSz w:w="11910" w:h="16840"/>
          <w:pgMar w:top="1580" w:right="1786" w:bottom="1180" w:left="1848" w:header="720" w:footer="984" w:gutter="0"/>
          <w:pgNumType w:start="1"/>
          <w:cols w:space="720" w:num="1"/>
        </w:sectPr>
      </w:pPr>
    </w:p>
    <w:sdt>
      <w:sdtPr>
        <w:rPr>
          <w:lang w:val="zh-CN"/>
        </w:rPr>
        <w:id w:val="147483366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color w:val="auto"/>
          <w:sz w:val="22"/>
          <w:szCs w:val="22"/>
          <w:lang w:val="zh-CN" w:eastAsia="en-US"/>
        </w:rPr>
      </w:sdtEndPr>
      <w:sdtContent>
        <w:p w14:paraId="0DE11C20">
          <w:pPr>
            <w:pStyle w:val="18"/>
            <w:jc w:val="center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0D242FD3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r>
            <w:fldChar w:fldCharType="begin"/>
          </w:r>
          <w:r>
            <w:instrText xml:space="preserve"> HYPERLINK \l "_Toc219565007"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一、项目简况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2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0C567980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HYPERLINK \l "_Toc219565008"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二、制定标准意义和必要性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2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0F1340EE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HYPERLINK \l "_Toc219565009"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三、</w:t>
          </w:r>
          <w:r>
            <w:rPr>
              <w:rStyle w:val="14"/>
              <w:rFonts w:hint="eastAsia" w:ascii="宋体" w:hAnsi="宋体" w:eastAsia="宋体" w:cs="宋体"/>
            </w:rPr>
            <w:t>编制原则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3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5925DBA7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HYPERLINK \l "_Toc219565010"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四、框架内容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3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360274A1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HYPERLINK \l "_Toc219565011"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五、与现行法律法规、强制性标准等上位标准关系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4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60B23021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HYPERLINK \l "_Toc219565012"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六、标准有何先进性或特色性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4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6B82E558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HYPERLINK \l "_Toc219565013"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七、标准调研、研讨情况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4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7D660546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HYPERLINK \l "_Toc219565014"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八、涉及专利的有关说明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4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78BF5CC5">
          <w:pPr>
            <w:pStyle w:val="10"/>
            <w:tabs>
              <w:tab w:val="right" w:leader="dot" w:pos="8660"/>
            </w:tabs>
            <w:spacing w:line="360" w:lineRule="atLeast"/>
            <w:rPr>
              <w:rFonts w:hint="eastAsia" w:ascii="宋体" w:hAnsi="宋体" w:eastAsia="宋体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HYPERLINK \l "_Toc219565015" </w:instrText>
          </w:r>
          <w:r>
            <w:fldChar w:fldCharType="separate"/>
          </w:r>
          <w:r>
            <w:rPr>
              <w:rStyle w:val="14"/>
              <w:rFonts w:hint="eastAsia" w:ascii="宋体" w:hAnsi="宋体" w:eastAsia="宋体" w:cs="宋体"/>
              <w:lang w:eastAsia="zh-CN"/>
            </w:rPr>
            <w:t>九、标准发布、实施日期及实施建议</w:t>
          </w:r>
          <w:r>
            <w:rPr>
              <w:rFonts w:hint="eastAsia" w:ascii="宋体" w:hAnsi="宋体" w:eastAsia="宋体"/>
            </w:rPr>
            <w:tab/>
          </w:r>
          <w:r>
            <w:rPr>
              <w:rFonts w:hint="eastAsia" w:ascii="宋体" w:hAnsi="宋体" w:eastAsia="宋体"/>
              <w:lang w:val="en-US" w:eastAsia="zh-CN"/>
            </w:rPr>
            <w:t>4</w:t>
          </w:r>
          <w:r>
            <w:rPr>
              <w:rFonts w:hint="eastAsia" w:ascii="宋体" w:hAnsi="宋体" w:eastAsia="宋体"/>
            </w:rPr>
            <w:fldChar w:fldCharType="end"/>
          </w:r>
        </w:p>
        <w:p w14:paraId="6FAB3273">
          <w:pPr>
            <w:rPr>
              <w:b/>
              <w:bCs/>
              <w:lang w:val="zh-CN"/>
            </w:rPr>
            <w:sectPr>
              <w:footerReference r:id="rId4" w:type="default"/>
              <w:pgSz w:w="11910" w:h="16840"/>
              <w:pgMar w:top="1580" w:right="1786" w:bottom="1180" w:left="1848" w:header="720" w:footer="984" w:gutter="0"/>
              <w:pgNumType w:start="1"/>
              <w:cols w:space="720" w:num="1"/>
            </w:sectPr>
          </w:pPr>
          <w:r>
            <w:rPr>
              <w:b/>
              <w:bCs/>
              <w:lang w:val="zh-CN"/>
            </w:rPr>
            <w:fldChar w:fldCharType="end"/>
          </w:r>
        </w:p>
        <w:p w14:paraId="0A4AEB51">
          <w:pPr>
            <w:pStyle w:val="2"/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240" w:lineRule="auto"/>
            <w:textAlignment w:val="auto"/>
            <w:rPr>
              <w:rFonts w:hint="eastAsia" w:ascii="仿宋" w:hAnsi="仿宋" w:eastAsia="仿宋" w:cs="仿宋"/>
              <w:b/>
              <w:bCs w:val="0"/>
              <w:sz w:val="28"/>
              <w:szCs w:val="28"/>
              <w:lang w:eastAsia="zh-CN"/>
            </w:rPr>
          </w:pPr>
          <w:bookmarkStart w:id="1" w:name="_Toc219565007"/>
        </w:p>
      </w:sdtContent>
    </w:sdt>
    <w:p w14:paraId="2EF7C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项目简况</w:t>
      </w:r>
      <w:bookmarkEnd w:id="1"/>
    </w:p>
    <w:p w14:paraId="5DAC92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《实验室生态环境监测数智化平台建设指南》团体标准由海南省生态环境监测协会提出立项并组织编制。标准依据《中华人民共和国标准化法》《团体标准管理规定》等相关法律法规，制订工作计划并严格按照标准立项、征集意见、技术审查、发布等流程执行。文件编制由团标项目编制组负责，主要由发起编制单位海南中环能检测技术有限公司、青岛明华电子仪器有限公司、广州仪道信息科技有限公司等技术人员组成。</w:t>
      </w:r>
    </w:p>
    <w:p w14:paraId="727F8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bookmarkStart w:id="2" w:name="_Toc219565008"/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二、制定标准意义和必要性</w:t>
      </w:r>
      <w:bookmarkEnd w:id="2"/>
    </w:p>
    <w:p w14:paraId="3D279D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生态环境监测是生态环境保护的基础性、保障性工作，是筑牢生态文明建设根基的关键支撑。生态环境监测数据作为客观评判区域环境质量状况、量化评估污染治理实效、支撑环境管理科学决策的核心技术依据，其真实性、完整性、可追溯性直接关系生态环境保护工作的成效。2021年12月，生态环境部印发《“十四五” 生态环境监测规划》（环监测〔2021〕117 号），在“健全监测质量管理体系” 专章中明确提出工作要求：指导各地构建统一管理、全国联网的生态环境监测实验室信息管理系统，深度运用区块链、物联网等新一代信息技术，实现监测活动全流程信息的封闭式采集、安全化存储、链条化追溯。</w:t>
      </w:r>
    </w:p>
    <w:p w14:paraId="1F583E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《检测实验室信息管理系统建设指南》（RB/T 029-2020）所规定的检测过程管理、抽样管理、报告管理等技术要求，仅适用于通用型检测实验室信息系统的建设场景，未能覆盖生态环境监测业务从任务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登记、方案编制、合同评审、任务下达、现场采样与测试、样品流转管理、实验室分析测定，到数据多级审核的全流程管控链条，难以满足生态环境监测领域对业务全流程可追溯、全环节可监管的专属管理需求。</w:t>
      </w:r>
    </w:p>
    <w:p w14:paraId="36CF64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60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为贯彻落实国家生态环境监测信息化建设相关要求，稳步推动海</w:t>
      </w: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南生态环境监测流程标准化、业务管理信息化、数据治理数字化转型，全面提升海南生态环境监测治理体系和治理能力现代化水平，亟需制定本团体标准，明确海南生态环境监测机构实验室信息管理系统的建设技术规范，统一系统功能架构、数据接口、安全管理等核心技术要求，满足各类生态环境监测数据互联互通、全程追溯、有效监管的应用需求，进而提升海南生态环境监测数据质量，强化海南生态环境监测综合监管效能，夯实海南生态环境监测数据公信力。</w:t>
      </w:r>
    </w:p>
    <w:p w14:paraId="55CCBC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</w:pPr>
      <w:bookmarkStart w:id="3" w:name="_Toc219565009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>三、编制原则</w:t>
      </w:r>
      <w:bookmarkEnd w:id="3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 xml:space="preserve"> </w:t>
      </w:r>
    </w:p>
    <w:p w14:paraId="24B56F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 xml:space="preserve">1、本文件的编制立足行业现状，结合实际发展需求，通过优化与细化内容，保障了标准的协调性与统一性 </w:t>
      </w:r>
    </w:p>
    <w:p w14:paraId="1540E7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 xml:space="preserve">2、本文件规范具有先进性，将AI人工智能融合到实验室建设、运维过程，既有充分的理论和实践依据，又有人工智能先进技术。 </w:t>
      </w:r>
    </w:p>
    <w:p w14:paraId="60197B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3、本文件规范根据 GB/T 1.1－2020 给出的规则进行编写。</w:t>
      </w:r>
    </w:p>
    <w:p w14:paraId="773638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</w:pPr>
      <w:bookmarkStart w:id="4" w:name="_Toc219565010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>四、框架内容</w:t>
      </w:r>
      <w:bookmarkEnd w:id="4"/>
    </w:p>
    <w:p w14:paraId="2AB2E0BC">
      <w:pPr>
        <w:pStyle w:val="6"/>
        <w:spacing w:before="147" w:after="0" w:line="240" w:lineRule="auto"/>
        <w:ind w:left="800" w:right="588"/>
        <w:jc w:val="left"/>
        <w:rPr>
          <w:rFonts w:hint="eastAsia" w:ascii="楷体" w:hAnsi="楷体" w:eastAsia="楷体" w:cs="楷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eastAsia="zh-CN"/>
        </w:rPr>
        <w:t>标准框架及主要内容见表 1。</w:t>
      </w:r>
    </w:p>
    <w:p w14:paraId="6E1FEF7D">
      <w:pPr>
        <w:pStyle w:val="6"/>
        <w:spacing w:before="147" w:after="0" w:line="240" w:lineRule="auto"/>
        <w:ind w:left="60"/>
        <w:jc w:val="center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表 1 标准框架</w:t>
      </w:r>
    </w:p>
    <w:tbl>
      <w:tblPr>
        <w:tblStyle w:val="12"/>
        <w:tblW w:w="9003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026"/>
        <w:gridCol w:w="6132"/>
      </w:tblGrid>
      <w:tr w14:paraId="1C21B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9806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6DA8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标题</w:t>
            </w:r>
          </w:p>
        </w:tc>
        <w:tc>
          <w:tcPr>
            <w:tcW w:w="6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33B0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主要内容</w:t>
            </w:r>
          </w:p>
        </w:tc>
      </w:tr>
      <w:tr w14:paraId="0C3FA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86C6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2FAF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范围</w:t>
            </w:r>
          </w:p>
        </w:tc>
        <w:tc>
          <w:tcPr>
            <w:tcW w:w="6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DFFE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明确本文件的主要内容与适用范围</w:t>
            </w:r>
          </w:p>
        </w:tc>
      </w:tr>
      <w:tr w14:paraId="4E359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C076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E54F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规范性引用文件</w:t>
            </w:r>
          </w:p>
        </w:tc>
        <w:tc>
          <w:tcPr>
            <w:tcW w:w="6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FFED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规范性引用文件共 6份</w:t>
            </w:r>
          </w:p>
        </w:tc>
      </w:tr>
      <w:tr w14:paraId="37461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71D4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1EC1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术语及定义</w:t>
            </w:r>
          </w:p>
        </w:tc>
        <w:tc>
          <w:tcPr>
            <w:tcW w:w="6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EE17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对“生态环境监测数智化平台”“RPA机器人流程自动化软件”术语进行了定义</w:t>
            </w:r>
          </w:p>
        </w:tc>
      </w:tr>
      <w:tr w14:paraId="3B178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8B8D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B98F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基本要求</w:t>
            </w:r>
          </w:p>
        </w:tc>
        <w:tc>
          <w:tcPr>
            <w:tcW w:w="6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0A1C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合规性原则、适用性原则、用户参与原则、开放性原则、可扩展性原则、安全性原则</w:t>
            </w:r>
          </w:p>
        </w:tc>
      </w:tr>
      <w:tr w14:paraId="27BE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6581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F2FF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建设要求</w:t>
            </w:r>
          </w:p>
        </w:tc>
        <w:tc>
          <w:tcPr>
            <w:tcW w:w="6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D055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主要包括资源管理、业务管理、质控管理、防错记录、数据服务、体系管理、监测档案、统计分析、AI人工智能</w:t>
            </w:r>
          </w:p>
        </w:tc>
      </w:tr>
      <w:tr w14:paraId="6F75C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55BA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E916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系统监管要求</w:t>
            </w:r>
          </w:p>
        </w:tc>
        <w:tc>
          <w:tcPr>
            <w:tcW w:w="6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8B03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明确了采样定位与数据录入、照片上传要求、数据提交限制、质控要求、样品有效期提醒、报告上传要求。</w:t>
            </w:r>
          </w:p>
        </w:tc>
      </w:tr>
      <w:tr w14:paraId="2268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5B28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11DB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系统维护要求</w:t>
            </w:r>
          </w:p>
        </w:tc>
        <w:tc>
          <w:tcPr>
            <w:tcW w:w="6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FD12E">
            <w:pPr>
              <w:pStyle w:val="19"/>
              <w:spacing w:before="25" w:after="0" w:line="240" w:lineRule="auto"/>
              <w:ind w:left="103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主要包括维护程序建立 、日志查阅与评估、系统 监管与验证、异常应对能力、备份数据核查、环境与电源监控等。</w:t>
            </w:r>
          </w:p>
        </w:tc>
      </w:tr>
    </w:tbl>
    <w:p w14:paraId="673688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</w:pPr>
      <w:bookmarkStart w:id="5" w:name="_Toc219565011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>五、与现行法律法规、强制性标准等上位标准关系</w:t>
      </w:r>
      <w:bookmarkEnd w:id="5"/>
    </w:p>
    <w:p w14:paraId="1D6FD7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本文件与现行法律法规、强制性标准等上位标准无冲突。本文件根据国家现有法律、法规和规范性文件制订，参考 GB/T 27025-2019《检测和校准实验室能力的通用要求》、RB/T 028-2020《实验室信息管理系统管理规范》等相关标准，结合编制工作组多年科研经验、实践经验，按先进性、科学性、实用性和可操作性相结合的原则编制。</w:t>
      </w:r>
    </w:p>
    <w:p w14:paraId="458E5F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</w:pPr>
      <w:bookmarkStart w:id="6" w:name="_Toc219565012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>六、标准有何先进性或特色性</w:t>
      </w:r>
      <w:bookmarkEnd w:id="6"/>
    </w:p>
    <w:p w14:paraId="1140AF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本文件的制定，实行生态环境监测过程的质量预警管理，完善了AI人工智能在实验室生态环境监测数智化平台建设中的要求，同时明确了系统应提供全方位防错记录功能，从人员、仪器、交接、分析四个维度规避因操作不规范引发的问题。本文件详细描述了仪器数据直采的实现方式，可以满足目前市面上的大部分采样及分析设备。</w:t>
      </w:r>
    </w:p>
    <w:p w14:paraId="74AC9A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</w:pPr>
      <w:bookmarkStart w:id="7" w:name="_Toc219565013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>七、标准调研、研讨情况</w:t>
      </w:r>
      <w:bookmarkEnd w:id="7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 xml:space="preserve"> </w:t>
      </w:r>
    </w:p>
    <w:p w14:paraId="473D167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起草单位成立标准编制工作组并根据工作计划开展资料收集、现场调研、试验比对等。同时工作组于多次研究讨论标准技术指标，使标准更符合实际。</w:t>
      </w:r>
    </w:p>
    <w:p w14:paraId="58A361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</w:pPr>
      <w:bookmarkStart w:id="8" w:name="_Toc219565014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>八、涉及专利的有关说明</w:t>
      </w:r>
      <w:bookmarkEnd w:id="8"/>
    </w:p>
    <w:p w14:paraId="45F923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无</w:t>
      </w:r>
    </w:p>
    <w:p w14:paraId="4C7226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right="164" w:rightChars="0"/>
        <w:jc w:val="both"/>
        <w:textAlignment w:val="auto"/>
        <w:outlineLvl w:val="9"/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</w:pPr>
      <w:bookmarkStart w:id="9" w:name="_Toc219565015"/>
      <w:r>
        <w:rPr>
          <w:rFonts w:hint="eastAsia" w:ascii="仿宋" w:hAnsi="仿宋" w:eastAsia="仿宋" w:cstheme="minorBidi"/>
          <w:b/>
          <w:bCs/>
          <w:spacing w:val="-4"/>
          <w:kern w:val="0"/>
          <w:sz w:val="28"/>
          <w:szCs w:val="28"/>
          <w:lang w:eastAsia="zh-CN"/>
        </w:rPr>
        <w:t>九、标准发布、实施日期及实施建议</w:t>
      </w:r>
      <w:bookmarkEnd w:id="9"/>
    </w:p>
    <w:p w14:paraId="48EA7F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  <w:t>本文件发布实施后，计划开展标准实施宣贯和培训活动，确保标准顺利实施。</w:t>
      </w:r>
    </w:p>
    <w:p w14:paraId="771D92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after="0" w:line="460" w:lineRule="exact"/>
        <w:ind w:left="119" w:leftChars="0" w:right="164" w:rightChars="0" w:firstLine="544" w:firstLineChars="200"/>
        <w:jc w:val="both"/>
        <w:textAlignment w:val="auto"/>
        <w:outlineLvl w:val="9"/>
        <w:rPr>
          <w:rFonts w:hint="eastAsia" w:ascii="仿宋" w:hAnsi="仿宋" w:eastAsia="仿宋" w:cstheme="minorBidi"/>
          <w:spacing w:val="-4"/>
          <w:kern w:val="0"/>
          <w:sz w:val="28"/>
          <w:szCs w:val="28"/>
          <w:lang w:eastAsia="zh-CN"/>
        </w:rPr>
      </w:pPr>
    </w:p>
    <w:p w14:paraId="7939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textAlignment w:val="auto"/>
        <w:rPr>
          <w:rFonts w:hint="eastAsia"/>
          <w:lang w:eastAsia="zh-CN"/>
        </w:rPr>
      </w:pPr>
    </w:p>
    <w:p w14:paraId="35220E7E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519" w:right="1678" w:bottom="1179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2B968-08CA-4B20-A653-5328F2A252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648408-EC88-4EEA-AD03-1713E01F003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48097E-1D64-4672-8541-B86AAF28CAD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8C6D81-AB47-4F41-926A-74E84D6F88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C170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19EF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19EF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ACFD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B35F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B35F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ED29">
    <w:pPr>
      <w:pStyle w:val="8"/>
      <w:jc w:val="right"/>
      <w:rPr>
        <w:rFonts w:hint="eastAsia"/>
      </w:rPr>
    </w:pPr>
  </w:p>
  <w:p w14:paraId="31E91C89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D3FEA"/>
    <w:multiLevelType w:val="multilevel"/>
    <w:tmpl w:val="07ED3FEA"/>
    <w:lvl w:ilvl="0" w:tentative="0">
      <w:start w:val="1"/>
      <w:numFmt w:val="none"/>
      <w:pStyle w:val="16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00301"/>
    <w:rsid w:val="03FA28BC"/>
    <w:rsid w:val="069375D7"/>
    <w:rsid w:val="07D41D78"/>
    <w:rsid w:val="09192CB9"/>
    <w:rsid w:val="092E2FE0"/>
    <w:rsid w:val="18046CA4"/>
    <w:rsid w:val="198F2D53"/>
    <w:rsid w:val="1A8A3DEE"/>
    <w:rsid w:val="1B0D4CB4"/>
    <w:rsid w:val="1B4C7AB6"/>
    <w:rsid w:val="1B6E4850"/>
    <w:rsid w:val="1DB00010"/>
    <w:rsid w:val="1F351C0F"/>
    <w:rsid w:val="201E1DBC"/>
    <w:rsid w:val="250D7AF6"/>
    <w:rsid w:val="289742A6"/>
    <w:rsid w:val="2B9D7E25"/>
    <w:rsid w:val="2BE617CC"/>
    <w:rsid w:val="2C842785"/>
    <w:rsid w:val="31D46323"/>
    <w:rsid w:val="327A2E85"/>
    <w:rsid w:val="3C5674DC"/>
    <w:rsid w:val="425608D6"/>
    <w:rsid w:val="4A100301"/>
    <w:rsid w:val="4DA53172"/>
    <w:rsid w:val="5AF72E79"/>
    <w:rsid w:val="5E115985"/>
    <w:rsid w:val="5F9733EC"/>
    <w:rsid w:val="617D1584"/>
    <w:rsid w:val="630A6E47"/>
    <w:rsid w:val="64FF6ADE"/>
    <w:rsid w:val="66AF4687"/>
    <w:rsid w:val="71216163"/>
    <w:rsid w:val="76A96C4B"/>
    <w:rsid w:val="79C6690F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" w:beforeLines="50" w:line="400" w:lineRule="atLeast"/>
      <w:outlineLvl w:val="0"/>
    </w:pPr>
    <w:rPr>
      <w:rFonts w:ascii="黑体" w:hAnsi="宋体" w:eastAsia="黑体"/>
      <w:bCs/>
      <w:sz w:val="21"/>
      <w:szCs w:val="32"/>
    </w:rPr>
  </w:style>
  <w:style w:type="paragraph" w:styleId="3">
    <w:name w:val="heading 2"/>
    <w:basedOn w:val="1"/>
    <w:next w:val="1"/>
    <w:qFormat/>
    <w:uiPriority w:val="1"/>
    <w:pPr>
      <w:spacing w:before="50" w:beforeLines="50" w:line="400" w:lineRule="atLeast"/>
      <w:outlineLvl w:val="1"/>
    </w:pPr>
    <w:rPr>
      <w:rFonts w:ascii="黑体" w:hAnsi="微软雅黑" w:eastAsia="黑体"/>
      <w:sz w:val="21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00" w:lineRule="atLeast"/>
      <w:outlineLvl w:val="2"/>
    </w:pPr>
    <w:rPr>
      <w:rFonts w:ascii="黑体" w:eastAsia="黑体"/>
      <w:bCs/>
      <w:sz w:val="21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400" w:lineRule="atLeast"/>
      <w:outlineLvl w:val="3"/>
    </w:pPr>
    <w:rPr>
      <w:rFonts w:ascii="黑体" w:eastAsia="黑体" w:hAnsiTheme="majorHAnsi" w:cstheme="majorBidi"/>
      <w:bCs/>
      <w:sz w:val="21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4">
    <w:name w:val="Hyperlink"/>
    <w:basedOn w:val="1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/>
      <w:bCs w:val="0"/>
      <w:color w:val="2E54A1" w:themeColor="accent1" w:themeShade="BF"/>
      <w:lang w:eastAsia="zh-CN"/>
    </w:rPr>
  </w:style>
  <w:style w:type="paragraph" w:customStyle="1" w:styleId="16">
    <w:name w:val="标准文件_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Cs w:val="0"/>
      <w:color w:val="2E54A1" w:themeColor="accent1" w:themeShade="BF"/>
      <w:kern w:val="0"/>
      <w:sz w:val="32"/>
      <w:szCs w:val="32"/>
      <w:lang w:eastAsia="zh-CN"/>
    </w:r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12455</Words>
  <Characters>13653</Characters>
  <Lines>0</Lines>
  <Paragraphs>0</Paragraphs>
  <TotalTime>34</TotalTime>
  <ScaleCrop>false</ScaleCrop>
  <LinksUpToDate>false</LinksUpToDate>
  <CharactersWithSpaces>14116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2026-01-23T03:55:00Z</dcterms:created>
  <dc:creator>夏</dc:creator>
  <cp:lastModifiedBy>lenovo</cp:lastModifiedBy>
  <dcterms:modified xsi:type="dcterms:W3CDTF">2026-01-27T06:44:25Z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FA58497A1614410FBCF9DB04B94FC6E0_13</vt:lpwstr>
  </property>
  <property fmtid="{D5CDD505-2E9C-101B-9397-08002B2CF9AE}" pid="4" name="KSOTemplateDocerSaveRecord">
    <vt:lpwstr>eyJoZGlkIjoiZDM5YWQwMzZiZmVjZjdjYmQwMzg3YmFlZmNjOTM0YTcifQ==</vt:lpwstr>
  </property>
</Properties>
</file>